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994F4F" w:rsidRPr="00994F4F" w:rsidTr="00994F4F">
        <w:trPr>
          <w:trHeight w:val="210"/>
          <w:tblCellSpacing w:w="0" w:type="dxa"/>
        </w:trPr>
        <w:tc>
          <w:tcPr>
            <w:tcW w:w="0" w:type="auto"/>
            <w:hideMark/>
          </w:tcPr>
          <w:p w:rsidR="00994F4F" w:rsidRPr="00994F4F" w:rsidRDefault="00994F4F" w:rsidP="00994F4F">
            <w:pPr>
              <w:spacing w:after="0" w:line="240" w:lineRule="auto"/>
              <w:jc w:val="center"/>
              <w:rPr>
                <w:rFonts w:ascii="Verdana" w:eastAsia="Times New Roman" w:hAnsi="Verdana" w:cs="Times New Roman"/>
                <w:b/>
                <w:bCs/>
                <w:color w:val="FF6600"/>
                <w:sz w:val="18"/>
                <w:szCs w:val="18"/>
                <w:lang w:val="en-US" w:eastAsia="it-IT"/>
              </w:rPr>
            </w:pPr>
            <w:r w:rsidRPr="00994F4F">
              <w:rPr>
                <w:rFonts w:ascii="Verdana" w:eastAsia="Times New Roman" w:hAnsi="Verdana" w:cs="Times New Roman"/>
                <w:b/>
                <w:bCs/>
                <w:color w:val="FF6600"/>
                <w:sz w:val="18"/>
                <w:szCs w:val="18"/>
                <w:lang w:val="en-US" w:eastAsia="it-IT"/>
              </w:rPr>
              <w:t>Study of Constitutions: Part III</w:t>
            </w:r>
          </w:p>
        </w:tc>
      </w:tr>
      <w:tr w:rsidR="00994F4F" w:rsidRPr="00994F4F" w:rsidTr="00994F4F">
        <w:trPr>
          <w:trHeight w:val="270"/>
          <w:tblCellSpacing w:w="0" w:type="dxa"/>
        </w:trPr>
        <w:tc>
          <w:tcPr>
            <w:tcW w:w="0" w:type="auto"/>
            <w:hideMark/>
          </w:tcPr>
          <w:p w:rsidR="00994F4F" w:rsidRPr="00994F4F" w:rsidRDefault="00994F4F" w:rsidP="00994F4F">
            <w:pPr>
              <w:spacing w:after="0" w:line="240" w:lineRule="auto"/>
              <w:jc w:val="center"/>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CLARETIAN GOVERNMENT: PRINCIPLES. STRUCTURES. NORMS</w:t>
            </w:r>
          </w:p>
        </w:tc>
      </w:tr>
    </w:tbl>
    <w:p w:rsidR="00994F4F" w:rsidRPr="00994F4F" w:rsidRDefault="00994F4F" w:rsidP="00994F4F">
      <w:pPr>
        <w:spacing w:after="240" w:line="240" w:lineRule="auto"/>
        <w:rPr>
          <w:rFonts w:ascii="Arial" w:eastAsia="Times New Roman" w:hAnsi="Arial" w:cs="Arial"/>
          <w:color w:val="000000"/>
          <w:sz w:val="18"/>
          <w:szCs w:val="18"/>
          <w:lang w:eastAsia="it-IT"/>
        </w:rPr>
      </w:pPr>
      <w:r w:rsidRPr="00994F4F">
        <w:rPr>
          <w:rFonts w:ascii="Arial" w:eastAsia="Times New Roman" w:hAnsi="Arial" w:cs="Arial"/>
          <w:b/>
          <w:bCs/>
          <w:color w:val="000000"/>
          <w:sz w:val="18"/>
          <w:szCs w:val="18"/>
          <w:lang w:val="en-US" w:eastAsia="it-IT"/>
        </w:rPr>
        <w:br/>
        <w:t>Sources:</w:t>
      </w:r>
      <w:r w:rsidRPr="00994F4F">
        <w:rPr>
          <w:rFonts w:ascii="Arial" w:eastAsia="Times New Roman" w:hAnsi="Arial" w:cs="Arial"/>
          <w:b/>
          <w:bCs/>
          <w:color w:val="000000"/>
          <w:sz w:val="18"/>
          <w:szCs w:val="18"/>
          <w:lang w:val="en-US" w:eastAsia="it-IT"/>
        </w:rPr>
        <w:br/>
        <w:t xml:space="preserve">CONSTITUTIONS (C): Fundamental, permanent, general. </w:t>
      </w:r>
      <w:r w:rsidRPr="00994F4F">
        <w:rPr>
          <w:rFonts w:ascii="Arial" w:eastAsia="Times New Roman" w:hAnsi="Arial" w:cs="Arial"/>
          <w:b/>
          <w:bCs/>
          <w:color w:val="000000"/>
          <w:sz w:val="18"/>
          <w:szCs w:val="18"/>
          <w:lang w:val="en-US" w:eastAsia="it-IT"/>
        </w:rPr>
        <w:br/>
        <w:t>DIRECTORY (D): Supplementary; current but changeable; detailed.</w:t>
      </w:r>
      <w:r w:rsidRPr="00994F4F">
        <w:rPr>
          <w:rFonts w:ascii="Arial" w:eastAsia="Times New Roman" w:hAnsi="Arial" w:cs="Arial"/>
          <w:b/>
          <w:bCs/>
          <w:color w:val="000000"/>
          <w:sz w:val="18"/>
          <w:szCs w:val="18"/>
          <w:lang w:val="en-US" w:eastAsia="it-IT"/>
        </w:rPr>
        <w:br/>
      </w:r>
      <w:r w:rsidRPr="00994F4F">
        <w:rPr>
          <w:rFonts w:ascii="Arial" w:eastAsia="Times New Roman" w:hAnsi="Arial" w:cs="Arial"/>
          <w:b/>
          <w:bCs/>
          <w:color w:val="000000"/>
          <w:sz w:val="18"/>
          <w:szCs w:val="18"/>
          <w:lang w:val="en-US" w:eastAsia="it-IT"/>
        </w:rPr>
        <w:br/>
      </w:r>
      <w:proofErr w:type="spellStart"/>
      <w:r w:rsidRPr="00994F4F">
        <w:rPr>
          <w:rFonts w:ascii="Arial" w:eastAsia="Times New Roman" w:hAnsi="Arial" w:cs="Arial"/>
          <w:b/>
          <w:bCs/>
          <w:color w:val="000000"/>
          <w:sz w:val="18"/>
          <w:szCs w:val="18"/>
          <w:lang w:eastAsia="it-IT"/>
        </w:rPr>
        <w:t>Important</w:t>
      </w:r>
      <w:proofErr w:type="spellEnd"/>
      <w:r w:rsidRPr="00994F4F">
        <w:rPr>
          <w:rFonts w:ascii="Arial" w:eastAsia="Times New Roman" w:hAnsi="Arial" w:cs="Arial"/>
          <w:b/>
          <w:bCs/>
          <w:color w:val="000000"/>
          <w:sz w:val="18"/>
          <w:szCs w:val="18"/>
          <w:lang w:eastAsia="it-IT"/>
        </w:rPr>
        <w:t xml:space="preserve"> </w:t>
      </w:r>
      <w:proofErr w:type="spellStart"/>
      <w:r w:rsidRPr="00994F4F">
        <w:rPr>
          <w:rFonts w:ascii="Arial" w:eastAsia="Times New Roman" w:hAnsi="Arial" w:cs="Arial"/>
          <w:b/>
          <w:bCs/>
          <w:color w:val="000000"/>
          <w:sz w:val="18"/>
          <w:szCs w:val="18"/>
          <w:lang w:eastAsia="it-IT"/>
        </w:rPr>
        <w:t>changes</w:t>
      </w:r>
      <w:proofErr w:type="spellEnd"/>
      <w:r w:rsidRPr="00994F4F">
        <w:rPr>
          <w:rFonts w:ascii="Arial" w:eastAsia="Times New Roman" w:hAnsi="Arial" w:cs="Arial"/>
          <w:b/>
          <w:bCs/>
          <w:color w:val="000000"/>
          <w:sz w:val="18"/>
          <w:szCs w:val="18"/>
          <w:lang w:eastAsia="it-IT"/>
        </w:rPr>
        <w:t xml:space="preserve"> in the </w:t>
      </w:r>
      <w:proofErr w:type="spellStart"/>
      <w:r w:rsidRPr="00994F4F">
        <w:rPr>
          <w:rFonts w:ascii="Arial" w:eastAsia="Times New Roman" w:hAnsi="Arial" w:cs="Arial"/>
          <w:b/>
          <w:bCs/>
          <w:color w:val="000000"/>
          <w:sz w:val="18"/>
          <w:szCs w:val="18"/>
          <w:lang w:eastAsia="it-IT"/>
        </w:rPr>
        <w:t>renew</w:t>
      </w:r>
      <w:bookmarkStart w:id="0" w:name="_GoBack"/>
      <w:bookmarkEnd w:id="0"/>
      <w:r w:rsidRPr="00994F4F">
        <w:rPr>
          <w:rFonts w:ascii="Arial" w:eastAsia="Times New Roman" w:hAnsi="Arial" w:cs="Arial"/>
          <w:b/>
          <w:bCs/>
          <w:color w:val="000000"/>
          <w:sz w:val="18"/>
          <w:szCs w:val="18"/>
          <w:lang w:eastAsia="it-IT"/>
        </w:rPr>
        <w:t>al</w:t>
      </w:r>
      <w:proofErr w:type="spellEnd"/>
      <w:r w:rsidRPr="00994F4F">
        <w:rPr>
          <w:rFonts w:ascii="Arial" w:eastAsia="Times New Roman" w:hAnsi="Arial" w:cs="Arial"/>
          <w:b/>
          <w:bCs/>
          <w:color w:val="000000"/>
          <w:sz w:val="18"/>
          <w:szCs w:val="18"/>
          <w:lang w:eastAsia="it-IT"/>
        </w:rPr>
        <w:t xml:space="preserve"> of </w:t>
      </w:r>
      <w:proofErr w:type="spellStart"/>
      <w:r w:rsidRPr="00994F4F">
        <w:rPr>
          <w:rFonts w:ascii="Arial" w:eastAsia="Times New Roman" w:hAnsi="Arial" w:cs="Arial"/>
          <w:b/>
          <w:bCs/>
          <w:color w:val="000000"/>
          <w:sz w:val="18"/>
          <w:szCs w:val="18"/>
          <w:lang w:eastAsia="it-IT"/>
        </w:rPr>
        <w:t>sources</w:t>
      </w:r>
      <w:proofErr w:type="spellEnd"/>
      <w:r w:rsidRPr="00994F4F">
        <w:rPr>
          <w:rFonts w:ascii="Arial" w:eastAsia="Times New Roman" w:hAnsi="Arial" w:cs="Arial"/>
          <w:b/>
          <w:bCs/>
          <w:color w:val="000000"/>
          <w:sz w:val="18"/>
          <w:szCs w:val="18"/>
          <w:lang w:eastAsia="it-IT"/>
        </w:rPr>
        <w:t xml:space="preserve">: </w:t>
      </w:r>
      <w:proofErr w:type="spellStart"/>
      <w:r w:rsidRPr="00994F4F">
        <w:rPr>
          <w:rFonts w:ascii="Arial" w:eastAsia="Times New Roman" w:hAnsi="Arial" w:cs="Arial"/>
          <w:b/>
          <w:bCs/>
          <w:color w:val="000000"/>
          <w:sz w:val="18"/>
          <w:szCs w:val="18"/>
          <w:lang w:eastAsia="it-IT"/>
        </w:rPr>
        <w:t>Symbolic</w:t>
      </w:r>
      <w:proofErr w:type="spellEnd"/>
      <w:r w:rsidRPr="00994F4F">
        <w:rPr>
          <w:rFonts w:ascii="Arial" w:eastAsia="Times New Roman" w:hAnsi="Arial" w:cs="Arial"/>
          <w:b/>
          <w:bCs/>
          <w:color w:val="000000"/>
          <w:sz w:val="18"/>
          <w:szCs w:val="18"/>
          <w:lang w:eastAsia="it-IT"/>
        </w:rPr>
        <w:t xml:space="preserve"> &amp; </w:t>
      </w:r>
      <w:proofErr w:type="spellStart"/>
      <w:r w:rsidRPr="00994F4F">
        <w:rPr>
          <w:rFonts w:ascii="Arial" w:eastAsia="Times New Roman" w:hAnsi="Arial" w:cs="Arial"/>
          <w:b/>
          <w:bCs/>
          <w:color w:val="000000"/>
          <w:sz w:val="18"/>
          <w:szCs w:val="18"/>
          <w:lang w:eastAsia="it-IT"/>
        </w:rPr>
        <w:t>real</w:t>
      </w:r>
      <w:proofErr w:type="spellEnd"/>
      <w:r w:rsidRPr="00994F4F">
        <w:rPr>
          <w:rFonts w:ascii="Arial" w:eastAsia="Times New Roman" w:hAnsi="Arial" w:cs="Arial"/>
          <w:b/>
          <w:bCs/>
          <w:color w:val="000000"/>
          <w:sz w:val="18"/>
          <w:szCs w:val="18"/>
          <w:lang w:eastAsia="it-IT"/>
        </w:rPr>
        <w:t>.</w:t>
      </w:r>
    </w:p>
    <w:tbl>
      <w:tblPr>
        <w:tblW w:w="5000" w:type="pct"/>
        <w:tblCellSpacing w:w="0" w:type="dxa"/>
        <w:tblCellMar>
          <w:left w:w="0" w:type="dxa"/>
          <w:right w:w="0" w:type="dxa"/>
        </w:tblCellMar>
        <w:tblLook w:val="04A0" w:firstRow="1" w:lastRow="0" w:firstColumn="1" w:lastColumn="0" w:noHBand="0" w:noVBand="1"/>
      </w:tblPr>
      <w:tblGrid>
        <w:gridCol w:w="964"/>
        <w:gridCol w:w="8674"/>
      </w:tblGrid>
      <w:tr w:rsidR="00994F4F" w:rsidRPr="00994F4F" w:rsidTr="00994F4F">
        <w:trPr>
          <w:trHeight w:val="315"/>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A. Type of obedience discussed in this Chapter:</w:t>
            </w:r>
          </w:p>
        </w:tc>
      </w:tr>
      <w:tr w:rsidR="00994F4F" w:rsidRPr="00994F4F" w:rsidTr="00994F4F">
        <w:trPr>
          <w:trHeight w:val="780"/>
          <w:tblCellSpacing w:w="0" w:type="dxa"/>
        </w:trPr>
        <w:tc>
          <w:tcPr>
            <w:tcW w:w="0" w:type="auto"/>
            <w:gridSpan w:val="2"/>
            <w:hideMark/>
          </w:tcPr>
          <w:p w:rsidR="00994F4F" w:rsidRPr="00994F4F" w:rsidRDefault="00994F4F" w:rsidP="00994F4F">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GOVERNMENT was placed in the third part of the Constitutions, after charism &amp; persons. </w:t>
            </w:r>
            <w:proofErr w:type="spellStart"/>
            <w:r w:rsidRPr="00994F4F">
              <w:rPr>
                <w:rFonts w:ascii="Arial" w:eastAsia="Times New Roman" w:hAnsi="Arial" w:cs="Arial"/>
                <w:color w:val="000000"/>
                <w:sz w:val="18"/>
                <w:szCs w:val="18"/>
                <w:lang w:eastAsia="it-IT"/>
              </w:rPr>
              <w:t>It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used</w:t>
            </w:r>
            <w:proofErr w:type="spellEnd"/>
            <w:r w:rsidRPr="00994F4F">
              <w:rPr>
                <w:rFonts w:ascii="Arial" w:eastAsia="Times New Roman" w:hAnsi="Arial" w:cs="Arial"/>
                <w:color w:val="000000"/>
                <w:sz w:val="18"/>
                <w:szCs w:val="18"/>
                <w:lang w:eastAsia="it-IT"/>
              </w:rPr>
              <w:t xml:space="preserve"> to be in the first part.</w:t>
            </w:r>
          </w:p>
          <w:p w:rsidR="00994F4F" w:rsidRPr="00994F4F" w:rsidRDefault="00994F4F" w:rsidP="00994F4F">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The order was reversed: now LOCAL, PROVINCIAL &amp; GENERAL community. </w:t>
            </w:r>
            <w:proofErr w:type="spellStart"/>
            <w:r w:rsidRPr="00994F4F">
              <w:rPr>
                <w:rFonts w:ascii="Arial" w:eastAsia="Times New Roman" w:hAnsi="Arial" w:cs="Arial"/>
                <w:color w:val="000000"/>
                <w:sz w:val="18"/>
                <w:szCs w:val="18"/>
                <w:lang w:eastAsia="it-IT"/>
              </w:rPr>
              <w:t>It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used</w:t>
            </w:r>
            <w:proofErr w:type="spellEnd"/>
            <w:r w:rsidRPr="00994F4F">
              <w:rPr>
                <w:rFonts w:ascii="Arial" w:eastAsia="Times New Roman" w:hAnsi="Arial" w:cs="Arial"/>
                <w:color w:val="000000"/>
                <w:sz w:val="18"/>
                <w:szCs w:val="18"/>
                <w:lang w:eastAsia="it-IT"/>
              </w:rPr>
              <w:t xml:space="preserve"> to be GENERAL, PROVINCIAL &amp; LOCAL community.</w:t>
            </w:r>
          </w:p>
        </w:tc>
      </w:tr>
      <w:tr w:rsidR="00994F4F" w:rsidRPr="00994F4F" w:rsidTr="00994F4F">
        <w:trPr>
          <w:trHeight w:val="285"/>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Hints on use of sources:</w:t>
            </w:r>
          </w:p>
        </w:tc>
      </w:tr>
      <w:tr w:rsidR="00994F4F" w:rsidRPr="00994F4F" w:rsidTr="00994F4F">
        <w:trPr>
          <w:trHeight w:val="1680"/>
          <w:tblCellSpacing w:w="0" w:type="dxa"/>
        </w:trPr>
        <w:tc>
          <w:tcPr>
            <w:tcW w:w="0" w:type="auto"/>
            <w:gridSpan w:val="2"/>
            <w:hideMark/>
          </w:tcPr>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Read through entire text of the Constitutions and Directory at least once, to have a general idea of what is there.</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Learn the basic Information that every Claretian is expected to know. </w:t>
            </w:r>
            <w:r w:rsidRPr="00994F4F">
              <w:rPr>
                <w:rFonts w:ascii="Arial" w:eastAsia="Times New Roman" w:hAnsi="Arial" w:cs="Arial"/>
                <w:color w:val="000000"/>
                <w:sz w:val="18"/>
                <w:szCs w:val="18"/>
                <w:lang w:eastAsia="it-IT"/>
              </w:rPr>
              <w:t>(</w:t>
            </w:r>
            <w:proofErr w:type="spellStart"/>
            <w:r w:rsidRPr="00994F4F">
              <w:rPr>
                <w:rFonts w:ascii="Arial" w:eastAsia="Times New Roman" w:hAnsi="Arial" w:cs="Arial"/>
                <w:color w:val="000000"/>
                <w:sz w:val="18"/>
                <w:szCs w:val="18"/>
                <w:lang w:eastAsia="it-IT"/>
              </w:rPr>
              <w:t>Most</w:t>
            </w:r>
            <w:proofErr w:type="spellEnd"/>
            <w:r w:rsidRPr="00994F4F">
              <w:rPr>
                <w:rFonts w:ascii="Arial" w:eastAsia="Times New Roman" w:hAnsi="Arial" w:cs="Arial"/>
                <w:color w:val="000000"/>
                <w:sz w:val="18"/>
                <w:szCs w:val="18"/>
                <w:lang w:eastAsia="it-IT"/>
              </w:rPr>
              <w:t xml:space="preserve"> of </w:t>
            </w:r>
            <w:proofErr w:type="spellStart"/>
            <w:r w:rsidRPr="00994F4F">
              <w:rPr>
                <w:rFonts w:ascii="Arial" w:eastAsia="Times New Roman" w:hAnsi="Arial" w:cs="Arial"/>
                <w:color w:val="000000"/>
                <w:sz w:val="18"/>
                <w:szCs w:val="18"/>
                <w:lang w:eastAsia="it-IT"/>
              </w:rPr>
              <w:t>what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is</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contained</w:t>
            </w:r>
            <w:proofErr w:type="spellEnd"/>
            <w:r w:rsidRPr="00994F4F">
              <w:rPr>
                <w:rFonts w:ascii="Arial" w:eastAsia="Times New Roman" w:hAnsi="Arial" w:cs="Arial"/>
                <w:color w:val="000000"/>
                <w:sz w:val="18"/>
                <w:szCs w:val="18"/>
                <w:lang w:eastAsia="it-IT"/>
              </w:rPr>
              <w:t xml:space="preserve"> in </w:t>
            </w:r>
            <w:proofErr w:type="spellStart"/>
            <w:r w:rsidRPr="00994F4F">
              <w:rPr>
                <w:rFonts w:ascii="Arial" w:eastAsia="Times New Roman" w:hAnsi="Arial" w:cs="Arial"/>
                <w:color w:val="000000"/>
                <w:sz w:val="18"/>
                <w:szCs w:val="18"/>
                <w:lang w:eastAsia="it-IT"/>
              </w:rPr>
              <w:t>this</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paper</w:t>
            </w:r>
            <w:proofErr w:type="spellEnd"/>
            <w:r w:rsidRPr="00994F4F">
              <w:rPr>
                <w:rFonts w:ascii="Arial" w:eastAsia="Times New Roman" w:hAnsi="Arial" w:cs="Arial"/>
                <w:color w:val="000000"/>
                <w:sz w:val="18"/>
                <w:szCs w:val="18"/>
                <w:lang w:eastAsia="it-IT"/>
              </w:rPr>
              <w:t>.)</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You are not expected to know or remember everything. Much information, especially in the Directory, is specific to certain particular situations. Review them if and when you find yourself in those particular situations.</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LEARN HOW TO USE THE INDEXES.</w:t>
            </w:r>
          </w:p>
        </w:tc>
      </w:tr>
      <w:tr w:rsidR="00994F4F" w:rsidRPr="00994F4F" w:rsidTr="00994F4F">
        <w:trPr>
          <w:trHeight w:val="345"/>
          <w:tblCellSpacing w:w="0" w:type="dxa"/>
        </w:trPr>
        <w:tc>
          <w:tcPr>
            <w:tcW w:w="500" w:type="pct"/>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13</w:t>
            </w:r>
          </w:p>
        </w:tc>
        <w:tc>
          <w:tcPr>
            <w:tcW w:w="4500" w:type="pct"/>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ORGANIZATIONAL STRUCTURE OF THE CONGREGATION</w:t>
            </w:r>
          </w:p>
        </w:tc>
      </w:tr>
      <w:tr w:rsidR="00994F4F" w:rsidRPr="00994F4F" w:rsidTr="00994F4F">
        <w:trPr>
          <w:trHeight w:val="564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r>
            <w:r w:rsidRPr="00994F4F">
              <w:rPr>
                <w:rFonts w:ascii="Arial" w:eastAsia="Times New Roman" w:hAnsi="Arial" w:cs="Arial"/>
                <w:color w:val="000000"/>
                <w:sz w:val="18"/>
                <w:szCs w:val="18"/>
                <w:lang w:val="en-US" w:eastAsia="it-IT"/>
              </w:rPr>
              <w:t>Like the Church, the CMF Congregation is charismatic &amp; institutional. All government is at the service of charity &amp; universal mission. (C86)</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Structures of the Congregation: (C87-90: D285-286; 294-295)</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Major Organisms:</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Provinces:</w:t>
            </w:r>
            <w:r w:rsidRPr="00994F4F">
              <w:rPr>
                <w:rFonts w:ascii="Arial" w:eastAsia="Times New Roman" w:hAnsi="Arial" w:cs="Arial"/>
                <w:color w:val="000000"/>
                <w:sz w:val="18"/>
                <w:szCs w:val="18"/>
                <w:lang w:val="en-US" w:eastAsia="it-IT"/>
              </w:rPr>
              <w:br/>
              <w:t>Formed: are developed in mission, formation, economy, government.</w:t>
            </w:r>
            <w:r w:rsidRPr="00994F4F">
              <w:rPr>
                <w:rFonts w:ascii="Arial" w:eastAsia="Times New Roman" w:hAnsi="Arial" w:cs="Arial"/>
                <w:color w:val="000000"/>
                <w:sz w:val="18"/>
                <w:szCs w:val="18"/>
                <w:lang w:val="en-US" w:eastAsia="it-IT"/>
              </w:rPr>
              <w:br/>
              <w:t>In Formation: lacks some elements, but on the way.</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Delegations:</w:t>
            </w:r>
            <w:r w:rsidRPr="00994F4F">
              <w:rPr>
                <w:rFonts w:ascii="Arial" w:eastAsia="Times New Roman" w:hAnsi="Arial" w:cs="Arial"/>
                <w:color w:val="000000"/>
                <w:sz w:val="18"/>
                <w:szCs w:val="18"/>
                <w:lang w:val="en-US" w:eastAsia="it-IT"/>
              </w:rPr>
              <w:t xml:space="preserve"> Superior has only delegated authority: Independent authority delegated from the Superior General. (Delegations dependent from a province are not kajor organisms)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Minor Organisms</w:t>
            </w:r>
            <w:r w:rsidRPr="00994F4F">
              <w:rPr>
                <w:rFonts w:ascii="Arial" w:eastAsia="Times New Roman" w:hAnsi="Arial" w:cs="Arial"/>
                <w:color w:val="000000"/>
                <w:sz w:val="18"/>
                <w:szCs w:val="18"/>
                <w:lang w:val="en-US" w:eastAsia="it-IT"/>
              </w:rPr>
              <w:br/>
              <w:t xml:space="preserve">Houses (Stability, at least 3 professed members). </w:t>
            </w:r>
            <w:r w:rsidRPr="00994F4F">
              <w:rPr>
                <w:rFonts w:ascii="Arial" w:eastAsia="Times New Roman" w:hAnsi="Arial" w:cs="Arial"/>
                <w:color w:val="000000"/>
                <w:sz w:val="18"/>
                <w:szCs w:val="18"/>
                <w:lang w:val="en-US" w:eastAsia="it-IT"/>
              </w:rPr>
              <w:br/>
              <w:t>Residences (No stability; ruled by delegate: special mission.)</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"Missions" are provinces, delegations or houses with a special form of government. They must be declared &amp; defined as such.</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"General Houses" are those that are directly under the authority of the Superior General: e.g., the General Curia, Claretianum, and Juridicum in Rome; occasionally new or difficult missions.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Each local community must have its own superior, vicar and econome. All of the organisms mentioned above need the approval of the General Government for their establishment, change or suppression.</w:t>
            </w:r>
          </w:p>
        </w:tc>
      </w:tr>
      <w:tr w:rsidR="00994F4F" w:rsidRPr="00994F4F" w:rsidTr="00994F4F">
        <w:trPr>
          <w:trHeight w:val="72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FEDERATIONS OR CONFERENCES.</w:t>
            </w:r>
            <w:r w:rsidRPr="00994F4F">
              <w:rPr>
                <w:rFonts w:ascii="Arial" w:eastAsia="Times New Roman" w:hAnsi="Arial" w:cs="Arial"/>
                <w:color w:val="000000"/>
                <w:sz w:val="18"/>
                <w:szCs w:val="18"/>
                <w:lang w:val="en-US" w:eastAsia="it-IT"/>
              </w:rPr>
              <w:br/>
              <w:t>For mutual help &amp; cooperation, provinces and delegations are formed into Federations or Conferences: (D 306):</w:t>
            </w:r>
          </w:p>
        </w:tc>
      </w:tr>
      <w:tr w:rsidR="00994F4F" w:rsidRPr="00994F4F" w:rsidTr="00994F4F">
        <w:trPr>
          <w:trHeight w:val="1170"/>
          <w:tblCellSpacing w:w="0" w:type="dxa"/>
        </w:trPr>
        <w:tc>
          <w:tcPr>
            <w:tcW w:w="0" w:type="auto"/>
            <w:gridSpan w:val="2"/>
            <w:hideMark/>
          </w:tcPr>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ACLA: Africa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ASCLA: Asia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CEC: Central Europe</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CICLA: Latin America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 xml:space="preserve">IBERIA: </w:t>
            </w:r>
            <w:proofErr w:type="spellStart"/>
            <w:r w:rsidRPr="00994F4F">
              <w:rPr>
                <w:rFonts w:ascii="Arial" w:eastAsia="Times New Roman" w:hAnsi="Arial" w:cs="Arial"/>
                <w:color w:val="000000"/>
                <w:sz w:val="18"/>
                <w:szCs w:val="18"/>
                <w:lang w:eastAsia="it-IT"/>
              </w:rPr>
              <w:t>Spain</w:t>
            </w:r>
            <w:proofErr w:type="spellEnd"/>
            <w:r w:rsidRPr="00994F4F">
              <w:rPr>
                <w:rFonts w:ascii="Arial" w:eastAsia="Times New Roman" w:hAnsi="Arial" w:cs="Arial"/>
                <w:color w:val="000000"/>
                <w:sz w:val="18"/>
                <w:szCs w:val="18"/>
                <w:lang w:eastAsia="it-IT"/>
              </w:rPr>
              <w:t xml:space="preserve"> and Portugal</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NACLA: North America</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14</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Principles of Government (C 93-101; D311-314)</w:t>
            </w:r>
          </w:p>
        </w:tc>
      </w:tr>
      <w:tr w:rsidR="00994F4F" w:rsidRPr="00994F4F" w:rsidTr="00994F4F">
        <w:trPr>
          <w:trHeight w:val="336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eastAsia="it-IT"/>
              </w:rPr>
            </w:pPr>
            <w:r w:rsidRPr="00994F4F">
              <w:rPr>
                <w:rFonts w:ascii="Arial" w:eastAsia="Times New Roman" w:hAnsi="Arial" w:cs="Arial"/>
                <w:b/>
                <w:bCs/>
                <w:color w:val="000000"/>
                <w:sz w:val="18"/>
                <w:szCs w:val="18"/>
                <w:lang w:val="en-US" w:eastAsia="it-IT"/>
              </w:rPr>
              <w:br/>
              <w:t>ENROLLMENT</w:t>
            </w:r>
            <w:r w:rsidRPr="00994F4F">
              <w:rPr>
                <w:rFonts w:ascii="Arial" w:eastAsia="Times New Roman" w:hAnsi="Arial" w:cs="Arial"/>
                <w:color w:val="000000"/>
                <w:sz w:val="18"/>
                <w:szCs w:val="18"/>
                <w:lang w:val="en-US" w:eastAsia="it-IT"/>
              </w:rPr>
              <w:t xml:space="preserve"> (formerly called "incardination")</w:t>
            </w:r>
            <w:r w:rsidRPr="00994F4F">
              <w:rPr>
                <w:rFonts w:ascii="Arial" w:eastAsia="Times New Roman" w:hAnsi="Arial" w:cs="Arial"/>
                <w:color w:val="000000"/>
                <w:sz w:val="18"/>
                <w:szCs w:val="18"/>
                <w:lang w:val="en-US" w:eastAsia="it-IT"/>
              </w:rPr>
              <w:br/>
              <w:t>By first profession one is enrolled in the General Congregation, and specifically in the province for which one has professed. One is enrolled in a local community by assignment of the provincial superior.</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ACTIVE &amp; PASSIVE VOICE</w:t>
            </w:r>
            <w:r w:rsidRPr="00994F4F">
              <w:rPr>
                <w:rFonts w:ascii="Arial" w:eastAsia="Times New Roman" w:hAnsi="Arial" w:cs="Arial"/>
                <w:color w:val="000000"/>
                <w:sz w:val="18"/>
                <w:szCs w:val="18"/>
                <w:lang w:val="en-US" w:eastAsia="it-IT"/>
              </w:rPr>
              <w:br/>
              <w:t>With perpetual profession a member has the right to active and passive voice.</w:t>
            </w:r>
            <w:r w:rsidRPr="00994F4F">
              <w:rPr>
                <w:rFonts w:ascii="Arial" w:eastAsia="Times New Roman" w:hAnsi="Arial" w:cs="Arial"/>
                <w:color w:val="000000"/>
                <w:sz w:val="18"/>
                <w:szCs w:val="18"/>
                <w:lang w:val="en-US" w:eastAsia="it-IT"/>
              </w:rPr>
              <w:br/>
              <w:t>a) Active voice: the right to vote according to our legislation.</w:t>
            </w:r>
            <w:r w:rsidRPr="00994F4F">
              <w:rPr>
                <w:rFonts w:ascii="Arial" w:eastAsia="Times New Roman" w:hAnsi="Arial" w:cs="Arial"/>
                <w:color w:val="000000"/>
                <w:sz w:val="18"/>
                <w:szCs w:val="18"/>
                <w:lang w:val="en-US" w:eastAsia="it-IT"/>
              </w:rPr>
              <w:br/>
              <w:t>b) Passive voice: the right to be elected, according to our Legislation. Specifics are in Dir. 322ff.</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AUTHORITY</w:t>
            </w:r>
            <w:r w:rsidRPr="00994F4F">
              <w:rPr>
                <w:rFonts w:ascii="Arial" w:eastAsia="Times New Roman" w:hAnsi="Arial" w:cs="Arial"/>
                <w:color w:val="000000"/>
                <w:sz w:val="18"/>
                <w:szCs w:val="18"/>
                <w:lang w:val="en-US" w:eastAsia="it-IT"/>
              </w:rPr>
              <w:t xml:space="preserve"> in the Congregation is for service.</w:t>
            </w:r>
            <w:r w:rsidRPr="00994F4F">
              <w:rPr>
                <w:rFonts w:ascii="Arial" w:eastAsia="Times New Roman" w:hAnsi="Arial" w:cs="Arial"/>
                <w:color w:val="000000"/>
                <w:sz w:val="18"/>
                <w:szCs w:val="18"/>
                <w:lang w:val="en-US" w:eastAsia="it-IT"/>
              </w:rPr>
              <w:br/>
              <w:t xml:space="preserve">Superiors (General, Provincial, Local) have ordinary and proper authority, yet subordinate, within their proper jurisdiction and according to canon law &amp; our own legislation. </w:t>
            </w:r>
            <w:r w:rsidRPr="00994F4F">
              <w:rPr>
                <w:rFonts w:ascii="Arial" w:eastAsia="Times New Roman" w:hAnsi="Arial" w:cs="Arial"/>
                <w:color w:val="000000"/>
                <w:sz w:val="18"/>
                <w:szCs w:val="18"/>
                <w:lang w:eastAsia="it-IT"/>
              </w:rPr>
              <w:t xml:space="preserve">(D364 &amp; </w:t>
            </w:r>
            <w:proofErr w:type="spellStart"/>
            <w:r w:rsidRPr="00994F4F">
              <w:rPr>
                <w:rFonts w:ascii="Arial" w:eastAsia="Times New Roman" w:hAnsi="Arial" w:cs="Arial"/>
                <w:color w:val="000000"/>
                <w:sz w:val="18"/>
                <w:szCs w:val="18"/>
                <w:lang w:eastAsia="it-IT"/>
              </w:rPr>
              <w:t>elsewhere</w:t>
            </w:r>
            <w:proofErr w:type="spellEnd"/>
            <w:r w:rsidRPr="00994F4F">
              <w:rPr>
                <w:rFonts w:ascii="Arial" w:eastAsia="Times New Roman" w:hAnsi="Arial" w:cs="Arial"/>
                <w:color w:val="000000"/>
                <w:sz w:val="18"/>
                <w:szCs w:val="18"/>
                <w:lang w:eastAsia="it-IT"/>
              </w:rPr>
              <w:t>.)</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15</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Local community (C 102 -110)</w:t>
            </w:r>
          </w:p>
        </w:tc>
      </w:tr>
      <w:tr w:rsidR="00994F4F" w:rsidRPr="00994F4F" w:rsidTr="00994F4F">
        <w:trPr>
          <w:trHeight w:val="228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t>ROLE of Local Superior,</w:t>
            </w:r>
            <w:r w:rsidRPr="00994F4F">
              <w:rPr>
                <w:rFonts w:ascii="Arial" w:eastAsia="Times New Roman" w:hAnsi="Arial" w:cs="Arial"/>
                <w:color w:val="000000"/>
                <w:sz w:val="18"/>
                <w:szCs w:val="18"/>
                <w:lang w:val="en-US" w:eastAsia="it-IT"/>
              </w:rPr>
              <w:t xml:space="preserve"> Vicar &amp; Econome (treasurer). The Provincial Chapter determines whether they are elected or appointed. </w:t>
            </w:r>
          </w:p>
          <w:p w:rsidR="00994F4F" w:rsidRPr="00994F4F" w:rsidRDefault="00994F4F" w:rsidP="00994F4F">
            <w:p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The Plenary Meeting</w:t>
            </w:r>
            <w:r w:rsidRPr="00994F4F">
              <w:rPr>
                <w:rFonts w:ascii="Arial" w:eastAsia="Times New Roman" w:hAnsi="Arial" w:cs="Arial"/>
                <w:color w:val="000000"/>
                <w:sz w:val="18"/>
                <w:szCs w:val="18"/>
                <w:lang w:val="en-US" w:eastAsia="it-IT"/>
              </w:rPr>
              <w:t xml:space="preserve"> of the community is very important. (C 110).It is made up of all the professed members of the community. It evaluates, discerns, plans, decides concerning the internal life of the community and its ministries. It should meet at least once a month.</w:t>
            </w:r>
            <w:r w:rsidRPr="00994F4F">
              <w:rPr>
                <w:rFonts w:ascii="Arial" w:eastAsia="Times New Roman" w:hAnsi="Arial" w:cs="Arial"/>
                <w:color w:val="000000"/>
                <w:sz w:val="18"/>
                <w:szCs w:val="18"/>
                <w:lang w:val="en-US" w:eastAsia="it-IT"/>
              </w:rPr>
              <w:br/>
              <w:t>More important details are in D430-435, including when the plenary meeting has deliberative votes.</w:t>
            </w:r>
          </w:p>
        </w:tc>
      </w:tr>
      <w:tr w:rsidR="00994F4F" w:rsidRPr="00994F4F" w:rsidTr="00994F4F">
        <w:trPr>
          <w:trHeight w:val="510"/>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16</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PROVINCIAL COMMUNITY</w:t>
            </w:r>
            <w:r w:rsidRPr="00994F4F">
              <w:rPr>
                <w:rFonts w:ascii="Verdana" w:eastAsia="Times New Roman" w:hAnsi="Verdana" w:cs="Arial"/>
                <w:b/>
                <w:bCs/>
                <w:color w:val="000099"/>
                <w:sz w:val="17"/>
                <w:szCs w:val="17"/>
                <w:lang w:val="en-US" w:eastAsia="it-IT"/>
              </w:rPr>
              <w:br/>
              <w:t>(C. lll-117; 122-127; Dir. 436-471)</w:t>
            </w:r>
          </w:p>
        </w:tc>
      </w:tr>
      <w:tr w:rsidR="00994F4F" w:rsidRPr="00994F4F" w:rsidTr="00994F4F">
        <w:trPr>
          <w:trHeight w:val="939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r>
            <w:r w:rsidRPr="00994F4F">
              <w:rPr>
                <w:rFonts w:ascii="Arial" w:eastAsia="Times New Roman" w:hAnsi="Arial" w:cs="Arial"/>
                <w:color w:val="000000"/>
                <w:sz w:val="18"/>
                <w:szCs w:val="18"/>
                <w:lang w:val="en-US" w:eastAsia="it-IT"/>
              </w:rPr>
              <w:t>The Provincial Chapter decides on whether and how the Provincial Superior is elected or appointed. The Provincial Chapter also decides whether the term of the Provincial Government is for 6 or 3 years, and how many provincial consultors (one of whom must be the provincial econome).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 xml:space="preserve">The consultors (except for the econome) may be chosen at large, or in </w:t>
            </w:r>
            <w:r w:rsidRPr="00994F4F">
              <w:rPr>
                <w:rFonts w:ascii="Arial" w:eastAsia="Times New Roman" w:hAnsi="Arial" w:cs="Arial"/>
                <w:color w:val="000000"/>
                <w:sz w:val="18"/>
                <w:szCs w:val="18"/>
                <w:lang w:val="en-US" w:eastAsia="it-IT"/>
              </w:rPr>
              <w:br/>
              <w:t>reference to a "prefecture"...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provincial superior chooses his vicar from among the elected consultors. He also chooses the provincial secretary. The Provincial Superior with his Consultors form the Provincial Government. The ideal is to seek "consensus" in their decisions. However, Church law and our own Claretian legislation determine some matters which must be decided by "consultative" votes and others which must be determined by "deliberative" votes. For example, the Provincial superior needs a "consultative" vote to admit a candidate into the novitiate, but must have a "deliberative" vote to admit a novice to first profession.</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br/>
              <w:t>THE PROVINCIAL CHAPTER</w:t>
            </w:r>
            <w:r w:rsidRPr="00994F4F">
              <w:rPr>
                <w:rFonts w:ascii="Arial" w:eastAsia="Times New Roman" w:hAnsi="Arial" w:cs="Arial"/>
                <w:color w:val="000000"/>
                <w:sz w:val="18"/>
                <w:szCs w:val="18"/>
                <w:lang w:val="en-US" w:eastAsia="it-IT"/>
              </w:rPr>
              <w:t xml:space="preserve"> "is the instrument that represents the province and expresses the participation, joint responsibility and communion of the whole province." (C122)</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Provincial Chapters are held every time it is necessary to elect a new Provincial Superior.</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 xml:space="preserve">The Superior General (or his delegate) is always the President of the provincial Chapter. There are precise rules for representation and election of chapter members.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 xml:space="preserve">The Chapter first of all evaluates the "state of the Province" through the written reports submitted beforehand;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 xml:space="preserve">Elects the new provincial government;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Plans and decides the future of the province, usually through a Chapter document or resolutions.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PROVINCIAL ASSEMBLIES</w:t>
            </w:r>
            <w:r w:rsidRPr="00994F4F">
              <w:rPr>
                <w:rFonts w:ascii="Arial" w:eastAsia="Times New Roman" w:hAnsi="Arial" w:cs="Arial"/>
                <w:color w:val="000000"/>
                <w:sz w:val="18"/>
                <w:szCs w:val="18"/>
                <w:lang w:val="en-US" w:eastAsia="it-IT"/>
              </w:rPr>
              <w:t xml:space="preserve"> are especially encouraged: (C127; D466). "Although they do not have the decision-making character proper of Provincial Chapters, they are important means of participation, co-responsibility and communion. Among their aims, the following stand out: life-sharing, dialogue, mutual acquaintance and encouragement, contributing suggestions, and a review and orientation of the life of the province.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CANONICAL VISITATIONS (C128-134: D472-477)</w:t>
            </w:r>
            <w:r w:rsidRPr="00994F4F">
              <w:rPr>
                <w:rFonts w:ascii="Arial" w:eastAsia="Times New Roman" w:hAnsi="Arial" w:cs="Arial"/>
                <w:color w:val="000000"/>
                <w:sz w:val="18"/>
                <w:szCs w:val="18"/>
                <w:lang w:val="en-US" w:eastAsia="it-IT"/>
              </w:rPr>
              <w:br/>
              <w:t>Canon law and our own Claretian legislation urge the Superior General (or his delegate) to conduct official visits of the various provinces and delegations (with their respective houses and individuals) at least every six years. Provincial superiors should visit their houses and members at least every two years. Both are encouraged to visit informally more frequently, especially to formation centers. Goals and procedures for the visits are described in the Constitutions.</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18</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GENERAL COMMUNITY (C135-156;D478-517)</w:t>
            </w:r>
          </w:p>
        </w:tc>
      </w:tr>
      <w:tr w:rsidR="00994F4F" w:rsidRPr="00994F4F" w:rsidTr="00994F4F">
        <w:trPr>
          <w:tblCellSpacing w:w="0" w:type="dxa"/>
        </w:trPr>
        <w:tc>
          <w:tcPr>
            <w:tcW w:w="0" w:type="auto"/>
            <w:gridSpan w:val="2"/>
            <w:hideMark/>
          </w:tcPr>
          <w:p w:rsidR="00994F4F" w:rsidRPr="00994F4F" w:rsidRDefault="00994F4F" w:rsidP="00994F4F">
            <w:pPr>
              <w:spacing w:after="0" w:line="0" w:lineRule="atLeast"/>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t>The SUPERIOR GENERAL</w:t>
            </w:r>
            <w:r w:rsidRPr="00994F4F">
              <w:rPr>
                <w:rFonts w:ascii="Arial" w:eastAsia="Times New Roman" w:hAnsi="Arial" w:cs="Arial"/>
                <w:color w:val="000000"/>
                <w:sz w:val="18"/>
                <w:szCs w:val="18"/>
                <w:lang w:val="en-US" w:eastAsia="it-IT"/>
              </w:rPr>
              <w:t xml:space="preserve"> unifies, coordinates, animates, plans, and preserves the life, charism and mission of the universal Congregation. His duties are described in detail.The Superior General and his consultors are elected at the General Chapter for a period of 6 years. The Superior General may be re-elected for a second term, but needs a 2/3 majority to be elected for a third term.</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General Chapter determines how many General Consultors there are, and whether they should be elected at-large or in reference to prefectures. Presently there are 6 General Consultors: 4 are elected in reference to prefectures: apostolate, formation, spirituality, finances; 2 are elected as Consultors. (See Claretian Agenda)</w:t>
            </w:r>
            <w:r w:rsidRPr="00994F4F">
              <w:rPr>
                <w:rFonts w:ascii="Arial" w:eastAsia="Times New Roman" w:hAnsi="Arial" w:cs="Arial"/>
                <w:color w:val="000000"/>
                <w:sz w:val="18"/>
                <w:szCs w:val="18"/>
                <w:lang w:val="en-US" w:eastAsia="it-IT"/>
              </w:rPr>
              <w:br/>
              <w:t>The Superior General chooses the Vicar General from among his consultors. The Superior General also selects the Secretary General, the Procurator (who handles the Congregation's business with the Holy See) and the Postulator (who handles causes of beatification &amp; canonization). The later 3 are usually not consultors.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THE GENERAL CHAPTER</w:t>
            </w:r>
            <w:r w:rsidRPr="00994F4F">
              <w:rPr>
                <w:rFonts w:ascii="Arial" w:eastAsia="Times New Roman" w:hAnsi="Arial" w:cs="Arial"/>
                <w:color w:val="000000"/>
                <w:sz w:val="18"/>
                <w:szCs w:val="18"/>
                <w:lang w:val="en-US" w:eastAsia="it-IT"/>
              </w:rPr>
              <w:t xml:space="preserve"> is the highest authority of the Congregation. An ordinary General Chapter is held whenever the superior general needs to be elected, i.e., usually every 6 years.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representation of the General Chapter is carefully regulated by our legislation. Most provinces are represented by their Provincial Superior and one elected delegate. A few larger provinces have an additional delegate or two. Independent Delegations have only one representative. The task of the Chapter is similar to that described above for the Provincial Chapters: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Evaluation of the state of the Congregation through prepared reports and dialogue.</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Election of the new general government</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Planning for the future, usually through the working out of a chapter document and/or resolutions.</w:t>
            </w:r>
          </w:p>
        </w:tc>
      </w:tr>
      <w:tr w:rsidR="00994F4F" w:rsidRPr="00994F4F" w:rsidTr="00994F4F">
        <w:trPr>
          <w:trHeight w:val="270"/>
          <w:tblCellSpacing w:w="0" w:type="dxa"/>
        </w:trPr>
        <w:tc>
          <w:tcPr>
            <w:tcW w:w="0" w:type="auto"/>
            <w:gridSpan w:val="2"/>
            <w:hideMark/>
          </w:tcPr>
          <w:p w:rsidR="00994F4F" w:rsidRPr="00994F4F" w:rsidRDefault="00994F4F" w:rsidP="00994F4F">
            <w:pPr>
              <w:spacing w:after="0" w:line="240" w:lineRule="auto"/>
              <w:jc w:val="right"/>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 xml:space="preserve">-Notes by Ted </w:t>
            </w:r>
            <w:proofErr w:type="spellStart"/>
            <w:r w:rsidRPr="00994F4F">
              <w:rPr>
                <w:rFonts w:ascii="Arial" w:eastAsia="Times New Roman" w:hAnsi="Arial" w:cs="Arial"/>
                <w:color w:val="000000"/>
                <w:sz w:val="18"/>
                <w:szCs w:val="18"/>
                <w:lang w:val="en-US" w:eastAsia="it-IT"/>
              </w:rPr>
              <w:t>Cirone</w:t>
            </w:r>
            <w:proofErr w:type="spellEnd"/>
            <w:r w:rsidRPr="00994F4F">
              <w:rPr>
                <w:rFonts w:ascii="Arial" w:eastAsia="Times New Roman" w:hAnsi="Arial" w:cs="Arial"/>
                <w:color w:val="000000"/>
                <w:sz w:val="18"/>
                <w:szCs w:val="18"/>
                <w:lang w:val="en-US" w:eastAsia="it-IT"/>
              </w:rPr>
              <w:t>, CMF, Revised April 9, 2005</w:t>
            </w:r>
          </w:p>
        </w:tc>
      </w:tr>
    </w:tbl>
    <w:p w:rsidR="00D07B9D" w:rsidRPr="00994F4F" w:rsidRDefault="00D07B9D">
      <w:pPr>
        <w:rPr>
          <w:lang w:val="en-US"/>
        </w:rPr>
      </w:pPr>
    </w:p>
    <w:sectPr w:rsidR="00D07B9D" w:rsidRPr="00994F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71F72"/>
    <w:multiLevelType w:val="multilevel"/>
    <w:tmpl w:val="3546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812E0C"/>
    <w:multiLevelType w:val="multilevel"/>
    <w:tmpl w:val="7C2E8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662B12"/>
    <w:multiLevelType w:val="multilevel"/>
    <w:tmpl w:val="2C2E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F4F"/>
    <w:rsid w:val="00994F4F"/>
    <w:rsid w:val="00D07B9D"/>
    <w:rsid w:val="00EF6E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418200">
      <w:bodyDiv w:val="1"/>
      <w:marLeft w:val="0"/>
      <w:marRight w:val="0"/>
      <w:marTop w:val="0"/>
      <w:marBottom w:val="0"/>
      <w:divBdr>
        <w:top w:val="none" w:sz="0" w:space="0" w:color="auto"/>
        <w:left w:val="none" w:sz="0" w:space="0" w:color="auto"/>
        <w:bottom w:val="none" w:sz="0" w:space="0" w:color="auto"/>
        <w:right w:val="none" w:sz="0" w:space="0" w:color="auto"/>
      </w:divBdr>
      <w:divsChild>
        <w:div w:id="1176188628">
          <w:marLeft w:val="0"/>
          <w:marRight w:val="0"/>
          <w:marTop w:val="0"/>
          <w:marBottom w:val="0"/>
          <w:divBdr>
            <w:top w:val="none" w:sz="0" w:space="0" w:color="auto"/>
            <w:left w:val="none" w:sz="0" w:space="0" w:color="auto"/>
            <w:bottom w:val="none" w:sz="0" w:space="0" w:color="auto"/>
            <w:right w:val="none" w:sz="0" w:space="0" w:color="auto"/>
          </w:divBdr>
          <w:divsChild>
            <w:div w:id="1643659324">
              <w:marLeft w:val="0"/>
              <w:marRight w:val="0"/>
              <w:marTop w:val="0"/>
              <w:marBottom w:val="0"/>
              <w:divBdr>
                <w:top w:val="none" w:sz="0" w:space="0" w:color="auto"/>
                <w:left w:val="none" w:sz="0" w:space="0" w:color="auto"/>
                <w:bottom w:val="none" w:sz="0" w:space="0" w:color="auto"/>
                <w:right w:val="none" w:sz="0" w:space="0" w:color="auto"/>
              </w:divBdr>
              <w:divsChild>
                <w:div w:id="1940723352">
                  <w:marLeft w:val="0"/>
                  <w:marRight w:val="0"/>
                  <w:marTop w:val="0"/>
                  <w:marBottom w:val="0"/>
                  <w:divBdr>
                    <w:top w:val="none" w:sz="0" w:space="0" w:color="auto"/>
                    <w:left w:val="none" w:sz="0" w:space="0" w:color="auto"/>
                    <w:bottom w:val="none" w:sz="0" w:space="0" w:color="auto"/>
                    <w:right w:val="none" w:sz="0" w:space="0" w:color="auto"/>
                  </w:divBdr>
                  <w:divsChild>
                    <w:div w:id="519322027">
                      <w:marLeft w:val="0"/>
                      <w:marRight w:val="0"/>
                      <w:marTop w:val="0"/>
                      <w:marBottom w:val="0"/>
                      <w:divBdr>
                        <w:top w:val="none" w:sz="0" w:space="0" w:color="auto"/>
                        <w:left w:val="none" w:sz="0" w:space="0" w:color="auto"/>
                        <w:bottom w:val="none" w:sz="0" w:space="0" w:color="auto"/>
                        <w:right w:val="none" w:sz="0" w:space="0" w:color="auto"/>
                      </w:divBdr>
                      <w:divsChild>
                        <w:div w:id="390542761">
                          <w:marLeft w:val="0"/>
                          <w:marRight w:val="0"/>
                          <w:marTop w:val="0"/>
                          <w:marBottom w:val="0"/>
                          <w:divBdr>
                            <w:top w:val="none" w:sz="0" w:space="0" w:color="auto"/>
                            <w:left w:val="none" w:sz="0" w:space="0" w:color="auto"/>
                            <w:bottom w:val="none" w:sz="0" w:space="0" w:color="auto"/>
                            <w:right w:val="none" w:sz="0" w:space="0" w:color="auto"/>
                          </w:divBdr>
                          <w:divsChild>
                            <w:div w:id="807208962">
                              <w:marLeft w:val="0"/>
                              <w:marRight w:val="0"/>
                              <w:marTop w:val="0"/>
                              <w:marBottom w:val="0"/>
                              <w:divBdr>
                                <w:top w:val="none" w:sz="0" w:space="0" w:color="auto"/>
                                <w:left w:val="none" w:sz="0" w:space="0" w:color="auto"/>
                                <w:bottom w:val="none" w:sz="0" w:space="0" w:color="auto"/>
                                <w:right w:val="none" w:sz="0" w:space="0" w:color="auto"/>
                              </w:divBdr>
                            </w:div>
                            <w:div w:id="910581736">
                              <w:marLeft w:val="0"/>
                              <w:marRight w:val="0"/>
                              <w:marTop w:val="0"/>
                              <w:marBottom w:val="0"/>
                              <w:divBdr>
                                <w:top w:val="none" w:sz="0" w:space="0" w:color="auto"/>
                                <w:left w:val="none" w:sz="0" w:space="0" w:color="auto"/>
                                <w:bottom w:val="none" w:sz="0" w:space="0" w:color="auto"/>
                                <w:right w:val="none" w:sz="0" w:space="0" w:color="auto"/>
                              </w:divBdr>
                            </w:div>
                            <w:div w:id="387612185">
                              <w:marLeft w:val="0"/>
                              <w:marRight w:val="0"/>
                              <w:marTop w:val="0"/>
                              <w:marBottom w:val="0"/>
                              <w:divBdr>
                                <w:top w:val="none" w:sz="0" w:space="0" w:color="auto"/>
                                <w:left w:val="none" w:sz="0" w:space="0" w:color="auto"/>
                                <w:bottom w:val="none" w:sz="0" w:space="0" w:color="auto"/>
                                <w:right w:val="none" w:sz="0" w:space="0" w:color="auto"/>
                              </w:divBdr>
                            </w:div>
                            <w:div w:id="1006400434">
                              <w:marLeft w:val="0"/>
                              <w:marRight w:val="0"/>
                              <w:marTop w:val="0"/>
                              <w:marBottom w:val="0"/>
                              <w:divBdr>
                                <w:top w:val="none" w:sz="0" w:space="0" w:color="auto"/>
                                <w:left w:val="none" w:sz="0" w:space="0" w:color="auto"/>
                                <w:bottom w:val="none" w:sz="0" w:space="0" w:color="auto"/>
                                <w:right w:val="none" w:sz="0" w:space="0" w:color="auto"/>
                              </w:divBdr>
                            </w:div>
                            <w:div w:id="682634170">
                              <w:marLeft w:val="0"/>
                              <w:marRight w:val="0"/>
                              <w:marTop w:val="0"/>
                              <w:marBottom w:val="0"/>
                              <w:divBdr>
                                <w:top w:val="none" w:sz="0" w:space="0" w:color="auto"/>
                                <w:left w:val="none" w:sz="0" w:space="0" w:color="auto"/>
                                <w:bottom w:val="none" w:sz="0" w:space="0" w:color="auto"/>
                                <w:right w:val="none" w:sz="0" w:space="0" w:color="auto"/>
                              </w:divBdr>
                            </w:div>
                            <w:div w:id="115881369">
                              <w:marLeft w:val="0"/>
                              <w:marRight w:val="0"/>
                              <w:marTop w:val="0"/>
                              <w:marBottom w:val="0"/>
                              <w:divBdr>
                                <w:top w:val="none" w:sz="0" w:space="0" w:color="auto"/>
                                <w:left w:val="none" w:sz="0" w:space="0" w:color="auto"/>
                                <w:bottom w:val="none" w:sz="0" w:space="0" w:color="auto"/>
                                <w:right w:val="none" w:sz="0" w:space="0" w:color="auto"/>
                              </w:divBdr>
                            </w:div>
                            <w:div w:id="1639265104">
                              <w:marLeft w:val="0"/>
                              <w:marRight w:val="0"/>
                              <w:marTop w:val="0"/>
                              <w:marBottom w:val="0"/>
                              <w:divBdr>
                                <w:top w:val="none" w:sz="0" w:space="0" w:color="auto"/>
                                <w:left w:val="none" w:sz="0" w:space="0" w:color="auto"/>
                                <w:bottom w:val="none" w:sz="0" w:space="0" w:color="auto"/>
                                <w:right w:val="none" w:sz="0" w:space="0" w:color="auto"/>
                              </w:divBdr>
                            </w:div>
                            <w:div w:id="535700940">
                              <w:marLeft w:val="0"/>
                              <w:marRight w:val="0"/>
                              <w:marTop w:val="0"/>
                              <w:marBottom w:val="0"/>
                              <w:divBdr>
                                <w:top w:val="none" w:sz="0" w:space="0" w:color="auto"/>
                                <w:left w:val="none" w:sz="0" w:space="0" w:color="auto"/>
                                <w:bottom w:val="none" w:sz="0" w:space="0" w:color="auto"/>
                                <w:right w:val="none" w:sz="0" w:space="0" w:color="auto"/>
                              </w:divBdr>
                            </w:div>
                            <w:div w:id="626476471">
                              <w:marLeft w:val="0"/>
                              <w:marRight w:val="0"/>
                              <w:marTop w:val="0"/>
                              <w:marBottom w:val="0"/>
                              <w:divBdr>
                                <w:top w:val="none" w:sz="0" w:space="0" w:color="auto"/>
                                <w:left w:val="none" w:sz="0" w:space="0" w:color="auto"/>
                                <w:bottom w:val="none" w:sz="0" w:space="0" w:color="auto"/>
                                <w:right w:val="none" w:sz="0" w:space="0" w:color="auto"/>
                              </w:divBdr>
                            </w:div>
                            <w:div w:id="69877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1279</Words>
  <Characters>7292</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2011-11-11T18:06:00Z</dcterms:created>
  <dcterms:modified xsi:type="dcterms:W3CDTF">2011-11-11T18:06:00Z</dcterms:modified>
</cp:coreProperties>
</file>